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D1C" w:rsidRPr="000A70F7" w:rsidRDefault="00CD4794">
      <w:pPr>
        <w:jc w:val="center"/>
        <w:rPr>
          <w:rFonts w:ascii="Times New Roman" w:hAnsi="Times New Roman"/>
          <w:b/>
          <w:sz w:val="30"/>
          <w:szCs w:val="30"/>
        </w:rPr>
      </w:pPr>
      <w:r w:rsidRPr="000A70F7">
        <w:rPr>
          <w:rFonts w:ascii="Times New Roman" w:hAnsi="Times New Roman"/>
          <w:b/>
          <w:sz w:val="30"/>
          <w:szCs w:val="30"/>
        </w:rPr>
        <w:t>ПАСПОРТ</w:t>
      </w:r>
    </w:p>
    <w:p w:rsidR="000A70F7" w:rsidRDefault="00CD4794" w:rsidP="000A70F7">
      <w:pPr>
        <w:jc w:val="center"/>
        <w:rPr>
          <w:rFonts w:ascii="Times New Roman" w:hAnsi="Times New Roman"/>
          <w:b/>
          <w:sz w:val="30"/>
          <w:szCs w:val="30"/>
        </w:rPr>
      </w:pPr>
      <w:r w:rsidRPr="000A70F7">
        <w:rPr>
          <w:rFonts w:ascii="Times New Roman" w:hAnsi="Times New Roman"/>
          <w:b/>
          <w:sz w:val="30"/>
          <w:szCs w:val="30"/>
        </w:rPr>
        <w:t>Муниципальной програ</w:t>
      </w:r>
      <w:r w:rsidR="000A70F7">
        <w:rPr>
          <w:rFonts w:ascii="Times New Roman" w:hAnsi="Times New Roman"/>
          <w:b/>
          <w:sz w:val="30"/>
          <w:szCs w:val="30"/>
        </w:rPr>
        <w:t xml:space="preserve">ммы Октябрьского района Курской </w:t>
      </w:r>
      <w:r w:rsidRPr="000A70F7">
        <w:rPr>
          <w:rFonts w:ascii="Times New Roman" w:hAnsi="Times New Roman"/>
          <w:b/>
          <w:sz w:val="30"/>
          <w:szCs w:val="30"/>
        </w:rPr>
        <w:t>области</w:t>
      </w:r>
      <w:r w:rsidR="000A70F7">
        <w:rPr>
          <w:rFonts w:ascii="Times New Roman" w:hAnsi="Times New Roman"/>
          <w:b/>
          <w:sz w:val="30"/>
          <w:szCs w:val="30"/>
        </w:rPr>
        <w:t xml:space="preserve"> </w:t>
      </w:r>
      <w:r w:rsidRPr="000A70F7">
        <w:rPr>
          <w:rFonts w:ascii="Times New Roman" w:hAnsi="Times New Roman"/>
          <w:b/>
          <w:sz w:val="30"/>
          <w:szCs w:val="30"/>
        </w:rPr>
        <w:t xml:space="preserve">«Развитие культуры Октябрьского района </w:t>
      </w:r>
    </w:p>
    <w:p w:rsidR="00D12D1C" w:rsidRPr="000A70F7" w:rsidRDefault="00CD4794" w:rsidP="000A70F7">
      <w:pPr>
        <w:jc w:val="center"/>
        <w:rPr>
          <w:rFonts w:ascii="Times New Roman" w:hAnsi="Times New Roman"/>
          <w:b/>
          <w:sz w:val="30"/>
          <w:szCs w:val="30"/>
        </w:rPr>
      </w:pPr>
      <w:r w:rsidRPr="000A70F7">
        <w:rPr>
          <w:rFonts w:ascii="Times New Roman" w:hAnsi="Times New Roman"/>
          <w:b/>
          <w:sz w:val="30"/>
          <w:szCs w:val="30"/>
        </w:rPr>
        <w:t>на 2020-2024 годы»</w:t>
      </w:r>
      <w:r>
        <w:rPr>
          <w:rFonts w:ascii="Times New Roman" w:hAnsi="Times New Roman"/>
          <w:sz w:val="32"/>
          <w:szCs w:val="32"/>
        </w:rPr>
        <w:t xml:space="preserve"> </w:t>
      </w:r>
    </w:p>
    <w:tbl>
      <w:tblPr>
        <w:tblW w:w="9355" w:type="dxa"/>
        <w:tblCellMar>
          <w:left w:w="0" w:type="dxa"/>
          <w:right w:w="0" w:type="dxa"/>
        </w:tblCellMar>
        <w:tblLook w:val="0000"/>
      </w:tblPr>
      <w:tblGrid>
        <w:gridCol w:w="2765"/>
        <w:gridCol w:w="6590"/>
      </w:tblGrid>
      <w:tr w:rsidR="00D12D1C">
        <w:trPr>
          <w:trHeight w:val="80"/>
        </w:trPr>
        <w:tc>
          <w:tcPr>
            <w:tcW w:w="2765" w:type="dxa"/>
            <w:shd w:val="clear" w:color="auto" w:fill="auto"/>
          </w:tcPr>
          <w:p w:rsidR="00D12D1C" w:rsidRDefault="00D12D1C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6589" w:type="dxa"/>
            <w:shd w:val="clear" w:color="auto" w:fill="auto"/>
          </w:tcPr>
          <w:p w:rsidR="00D12D1C" w:rsidRDefault="00D12D1C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12D1C"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        </w:t>
            </w:r>
            <w:r>
              <w:rPr>
                <w:sz w:val="28"/>
                <w:szCs w:val="28"/>
              </w:rPr>
              <w:br/>
              <w:t>исполнитель программы</w:t>
            </w:r>
          </w:p>
        </w:tc>
        <w:tc>
          <w:tcPr>
            <w:tcW w:w="6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 социальной политике и культуре Администрации Октябрьского района Курской области</w:t>
            </w:r>
          </w:p>
        </w:tc>
      </w:tr>
      <w:tr w:rsidR="00D12D1C">
        <w:tc>
          <w:tcPr>
            <w:tcW w:w="276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        </w:t>
            </w:r>
            <w:r>
              <w:rPr>
                <w:sz w:val="28"/>
                <w:szCs w:val="28"/>
              </w:rPr>
              <w:br/>
              <w:t>программы             </w:t>
            </w:r>
          </w:p>
        </w:tc>
        <w:tc>
          <w:tcPr>
            <w:tcW w:w="65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МКУК «Октябрьский районный дом народного творчества» Октябрьского района Курской области, МКУК «</w:t>
            </w:r>
            <w:proofErr w:type="spellStart"/>
            <w:r>
              <w:rPr>
                <w:sz w:val="28"/>
                <w:szCs w:val="28"/>
              </w:rPr>
              <w:t>Межпоселенческая</w:t>
            </w:r>
            <w:proofErr w:type="spellEnd"/>
            <w:r>
              <w:rPr>
                <w:sz w:val="28"/>
                <w:szCs w:val="28"/>
              </w:rPr>
              <w:t xml:space="preserve"> библиотека" Октябрьского района Курской области, МКУ «Централизованная бухгалтерия учреждений культуры" Октябрьского района Курской области»</w:t>
            </w:r>
          </w:p>
        </w:tc>
      </w:tr>
      <w:tr w:rsidR="00D12D1C">
        <w:tc>
          <w:tcPr>
            <w:tcW w:w="276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65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01 1 00 00000 «Искусство» муниципальной программы «Развитие культуры»;</w:t>
            </w:r>
          </w:p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01 2 00 00000 «Наследие» муниципальной программы «Развитие культуры»;</w:t>
            </w:r>
            <w:r>
              <w:rPr>
                <w:sz w:val="28"/>
                <w:szCs w:val="28"/>
              </w:rPr>
              <w:br/>
              <w:t>подпрограмма 01 3 00 00000 «Управление муниципальной программой и обеспечение условий реализации» муниципальной программы «Развитие культуры»;</w:t>
            </w:r>
          </w:p>
          <w:p w:rsidR="00D12D1C" w:rsidRDefault="00D12D1C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</w:p>
        </w:tc>
      </w:tr>
      <w:tr w:rsidR="00D12D1C">
        <w:tc>
          <w:tcPr>
            <w:tcW w:w="276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   </w:t>
            </w:r>
            <w:r>
              <w:rPr>
                <w:sz w:val="28"/>
                <w:szCs w:val="28"/>
              </w:rPr>
              <w:br/>
              <w:t>инструменты программы</w:t>
            </w:r>
          </w:p>
        </w:tc>
        <w:tc>
          <w:tcPr>
            <w:tcW w:w="65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  <w:r>
              <w:rPr>
                <w:rStyle w:val="apple-converted-space"/>
                <w:sz w:val="28"/>
                <w:szCs w:val="28"/>
              </w:rPr>
              <w:t> </w:t>
            </w:r>
          </w:p>
        </w:tc>
      </w:tr>
      <w:tr w:rsidR="00D12D1C">
        <w:tc>
          <w:tcPr>
            <w:tcW w:w="276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программы</w:t>
            </w:r>
            <w:r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65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 стратегической   роли   культуры   как духовно-нравственного основания развития  личности и обеспечение прав населения Октябрьского района на доступ к культурным ценностям и свободы творчества</w:t>
            </w:r>
          </w:p>
        </w:tc>
      </w:tr>
      <w:tr w:rsidR="00D12D1C">
        <w:tc>
          <w:tcPr>
            <w:tcW w:w="276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  <w:r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65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культурного  и  исторического  наследия народа, обеспечение доступа граждан  к  культурным ценностям;                                        </w:t>
            </w:r>
            <w:r>
              <w:rPr>
                <w:sz w:val="28"/>
                <w:szCs w:val="28"/>
              </w:rPr>
              <w:br/>
              <w:t>обеспечение доступа граждан к участию в культурной жизни, реализация  творческого     потенциала населения;                                        </w:t>
            </w:r>
            <w:r>
              <w:rPr>
                <w:sz w:val="28"/>
                <w:szCs w:val="28"/>
              </w:rPr>
              <w:br/>
              <w:t>создание  благоприятных  условий  для  устойчивого развития сферы культуры                           </w:t>
            </w:r>
          </w:p>
        </w:tc>
      </w:tr>
      <w:tr w:rsidR="00D12D1C">
        <w:trPr>
          <w:trHeight w:val="1699"/>
        </w:trPr>
        <w:tc>
          <w:tcPr>
            <w:tcW w:w="2765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pStyle w:val="formattex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 </w:t>
            </w:r>
            <w:r>
              <w:rPr>
                <w:sz w:val="28"/>
                <w:szCs w:val="28"/>
              </w:rPr>
              <w:br/>
              <w:t>показатели программы  </w:t>
            </w:r>
          </w:p>
        </w:tc>
        <w:tc>
          <w:tcPr>
            <w:tcW w:w="658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посещений организаций культуры     </w:t>
            </w:r>
          </w:p>
          <w:p w:rsidR="00D12D1C" w:rsidRDefault="00CD4794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доля зданий учреждений культуры, находящихся в удовлетворительном состоянии в общем  количестве зданий данных учреждений;</w:t>
            </w:r>
          </w:p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отношение среднемесячной  номинальной  начисленной заработной   платы   работников муниципальных учреждений культуры   к среднемесячной  начисленной  заработной плате наемных работников в организациях, у индивидуальных предпринимателей и физических лиц (среднемесячный доход от трудовой деятельности) в Курской области,  процент;</w:t>
            </w:r>
          </w:p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- охват населения библиотечным обслуживанием, процент;</w:t>
            </w:r>
          </w:p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количество посещений библиотек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на 1 жителя района в год), посещений;</w:t>
            </w:r>
          </w:p>
          <w:p w:rsidR="00D12D1C" w:rsidRDefault="00CD47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-доля публичных библиотек, подключенных  к сети Интернет, в общем количестве публичных библиотек района;</w:t>
            </w:r>
          </w:p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среднее число посещений  киносеансов на 1 человека, процент;</w:t>
            </w:r>
          </w:p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доли детей, привлекаемых к участию в творческих мероприятиях, от  общего числа детей, процент</w:t>
            </w:r>
            <w:r>
              <w:rPr>
                <w:color w:val="FF0000"/>
                <w:sz w:val="28"/>
                <w:szCs w:val="28"/>
              </w:rPr>
              <w:t>;</w:t>
            </w:r>
          </w:p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среднее число участников клубных формирований в расчете на 1 тыс. человек (в муниципальных домах культуры), человек;</w:t>
            </w:r>
          </w:p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числа посещений  организаций культуры, процент;</w:t>
            </w:r>
          </w:p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                          </w:t>
            </w:r>
          </w:p>
        </w:tc>
      </w:tr>
      <w:tr w:rsidR="00D12D1C">
        <w:tc>
          <w:tcPr>
            <w:tcW w:w="276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   реализации            </w:t>
            </w:r>
          </w:p>
        </w:tc>
        <w:tc>
          <w:tcPr>
            <w:tcW w:w="65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2020 - 2024 годы, в один этап программы</w:t>
            </w:r>
            <w:r>
              <w:rPr>
                <w:rStyle w:val="apple-converted-space"/>
                <w:sz w:val="28"/>
                <w:szCs w:val="28"/>
              </w:rPr>
              <w:t> </w:t>
            </w:r>
          </w:p>
        </w:tc>
      </w:tr>
      <w:tr w:rsidR="00D12D1C">
        <w:trPr>
          <w:trHeight w:val="5225"/>
        </w:trPr>
        <w:tc>
          <w:tcPr>
            <w:tcW w:w="276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Объемы бюджетных   </w:t>
            </w:r>
            <w:r>
              <w:rPr>
                <w:sz w:val="28"/>
                <w:szCs w:val="28"/>
              </w:rPr>
              <w:br/>
              <w:t>ассигнований программы</w:t>
            </w:r>
          </w:p>
        </w:tc>
        <w:tc>
          <w:tcPr>
            <w:tcW w:w="65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объём финансирования Программы составляет </w:t>
            </w:r>
            <w:r w:rsidR="005118C0">
              <w:rPr>
                <w:rFonts w:ascii="Times New Roman" w:hAnsi="Times New Roman"/>
                <w:sz w:val="28"/>
                <w:szCs w:val="28"/>
              </w:rPr>
              <w:t>92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118C0">
              <w:rPr>
                <w:rFonts w:ascii="Times New Roman" w:hAnsi="Times New Roman"/>
                <w:sz w:val="28"/>
                <w:szCs w:val="28"/>
              </w:rPr>
              <w:t>027</w:t>
            </w:r>
            <w:r>
              <w:rPr>
                <w:rFonts w:ascii="Times New Roman" w:hAnsi="Times New Roman"/>
                <w:sz w:val="28"/>
                <w:szCs w:val="28"/>
              </w:rPr>
              <w:t>,3</w:t>
            </w:r>
            <w:r w:rsidR="005118C0">
              <w:rPr>
                <w:rFonts w:ascii="Times New Roman" w:hAnsi="Times New Roman"/>
                <w:sz w:val="28"/>
                <w:szCs w:val="28"/>
              </w:rPr>
              <w:t>55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:rsidR="00D12D1C" w:rsidRDefault="00CD4794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в 2020 году – 17 199,568 тыс. руб.;</w:t>
            </w:r>
          </w:p>
          <w:p w:rsidR="00D12D1C" w:rsidRDefault="00CD4794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в 2021 году – 1</w:t>
            </w:r>
            <w:r w:rsidR="005118C0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5118C0">
              <w:rPr>
                <w:rFonts w:ascii="Times New Roman" w:hAnsi="Times New Roman"/>
                <w:sz w:val="28"/>
                <w:szCs w:val="28"/>
              </w:rPr>
              <w:t>214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5118C0">
              <w:rPr>
                <w:rFonts w:ascii="Times New Roman" w:hAnsi="Times New Roman"/>
                <w:sz w:val="28"/>
                <w:szCs w:val="28"/>
              </w:rPr>
              <w:t>627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D12D1C" w:rsidRDefault="00CD4794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2022 году – </w:t>
            </w:r>
            <w:r w:rsidR="005118C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5118C0">
              <w:rPr>
                <w:rFonts w:ascii="Times New Roman" w:hAnsi="Times New Roman"/>
                <w:sz w:val="28"/>
                <w:szCs w:val="28"/>
              </w:rPr>
              <w:t>328</w:t>
            </w:r>
            <w:r>
              <w:rPr>
                <w:rFonts w:ascii="Times New Roman" w:hAnsi="Times New Roman"/>
                <w:sz w:val="28"/>
                <w:szCs w:val="28"/>
              </w:rPr>
              <w:t>,4</w:t>
            </w:r>
            <w:r w:rsidR="005118C0">
              <w:rPr>
                <w:rFonts w:ascii="Times New Roman" w:hAnsi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D12D1C" w:rsidRDefault="00CD4794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в 2023 году – 1</w:t>
            </w:r>
            <w:r w:rsidR="005118C0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5118C0">
              <w:rPr>
                <w:rFonts w:ascii="Times New Roman" w:hAnsi="Times New Roman"/>
                <w:sz w:val="28"/>
                <w:szCs w:val="28"/>
              </w:rPr>
              <w:t>142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5118C0">
              <w:rPr>
                <w:rFonts w:ascii="Times New Roman" w:hAnsi="Times New Roman"/>
                <w:sz w:val="28"/>
                <w:szCs w:val="28"/>
              </w:rPr>
              <w:t>340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D12D1C" w:rsidRDefault="00CD4794">
            <w:pPr>
              <w:pStyle w:val="formattext"/>
              <w:spacing w:beforeAutospacing="0" w:afterAutospacing="0"/>
              <w:textAlignment w:val="baseline"/>
            </w:pPr>
            <w:r>
              <w:rPr>
                <w:sz w:val="28"/>
                <w:szCs w:val="28"/>
              </w:rPr>
              <w:t>в 2024 году – 1</w:t>
            </w:r>
            <w:r w:rsidR="005118C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</w:t>
            </w:r>
            <w:r w:rsidR="005118C0">
              <w:rPr>
                <w:sz w:val="28"/>
                <w:szCs w:val="28"/>
              </w:rPr>
              <w:t>142</w:t>
            </w:r>
            <w:r>
              <w:rPr>
                <w:sz w:val="28"/>
                <w:szCs w:val="28"/>
              </w:rPr>
              <w:t>,</w:t>
            </w:r>
            <w:r w:rsidR="005118C0">
              <w:rPr>
                <w:sz w:val="28"/>
                <w:szCs w:val="28"/>
              </w:rPr>
              <w:t>340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D12D1C" w:rsidRDefault="00CD47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финансирования мероприятий Программы уточняются ежегодно.</w:t>
            </w:r>
          </w:p>
          <w:p w:rsidR="00D12D1C" w:rsidRDefault="00CD4794">
            <w:pPr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Ресурсное обеспечение для реализации  целевой программы, а также и источники финансирования программных мероприятий по годам и в целом за весь период реализации приведены в приложении № 2 к настоящей Программе.</w:t>
            </w:r>
          </w:p>
          <w:p w:rsidR="00D12D1C" w:rsidRDefault="00D12D1C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</w:p>
          <w:p w:rsidR="00D12D1C" w:rsidRDefault="00D12D1C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</w:p>
          <w:p w:rsidR="00D12D1C" w:rsidRDefault="00D12D1C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</w:p>
        </w:tc>
      </w:tr>
      <w:tr w:rsidR="00D12D1C">
        <w:tc>
          <w:tcPr>
            <w:tcW w:w="276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 </w:t>
            </w:r>
            <w:r>
              <w:rPr>
                <w:sz w:val="28"/>
                <w:szCs w:val="28"/>
              </w:rPr>
              <w:br/>
              <w:t>реализации программы  </w:t>
            </w:r>
          </w:p>
        </w:tc>
        <w:tc>
          <w:tcPr>
            <w:tcW w:w="65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9" w:type="dxa"/>
              <w:right w:w="19" w:type="dxa"/>
            </w:tcMar>
          </w:tcPr>
          <w:p w:rsidR="00D12D1C" w:rsidRDefault="00CD4794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результате реализации Программы в 2024 году ожидается:</w:t>
            </w:r>
          </w:p>
          <w:p w:rsidR="00D12D1C" w:rsidRDefault="00CD47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увеличение доли объектов культурного наследия (недвижимые памятники), не требующих проведения противоаварийных работ и капитального ремонта, от общего количества объектов культурного наследия;</w:t>
            </w:r>
          </w:p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числа</w:t>
            </w:r>
            <w:r w:rsidR="005118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посещений организаций культуры     </w:t>
            </w:r>
          </w:p>
          <w:p w:rsidR="00D12D1C" w:rsidRDefault="00CD4794">
            <w:pPr>
              <w:snapToGrid w:val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увеличение доли зданий учреждений культуры, находящихся в удовлетворительном состоянии в общем  количестве зданий данных учреждений</w:t>
            </w:r>
          </w:p>
          <w:p w:rsidR="00D12D1C" w:rsidRDefault="00CD4794">
            <w:pPr>
              <w:pStyle w:val="formattext"/>
              <w:spacing w:beforeAutospacing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соблюдение отношения среднемесячной  номинальной  начисленной заработной   платы   работников муниципальных учреждений культуры   к среднемесячной  начисленной  заработной плате наемных работников в организациях, у индивидуальных предпринимателей и физических лиц (среднемесячный доход от трудовой деятельности) в Курской области;</w:t>
            </w:r>
          </w:p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-увеличение охвата населения района библиотечным обслуживанием;</w:t>
            </w:r>
          </w:p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увеличение количество посещений библиотек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на 1 жителя в год);</w:t>
            </w:r>
          </w:p>
          <w:p w:rsidR="00D12D1C" w:rsidRDefault="00CD47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сохранение доли публичных библиотек, подключенных  к сети Интернет, в общем количестве публичных библиотек района;</w:t>
            </w:r>
          </w:p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среднего числа посещений  киносеансов на 1 человека;</w:t>
            </w:r>
          </w:p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увеличение доли детей, привлекаемых к участию в творческих мероприятиях, от  общего числа детей;</w:t>
            </w:r>
          </w:p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среднего числа участников клубных формирований в расчете на 1 тыс. человек (в муниципальных домах культуры);</w:t>
            </w:r>
          </w:p>
          <w:p w:rsidR="00D12D1C" w:rsidRDefault="00CD4794">
            <w:pPr>
              <w:pStyle w:val="formattext"/>
              <w:spacing w:beforeAutospacing="0" w:afterAutospacing="0"/>
              <w:textAlignment w:val="baseline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числа посещений  организаций культуры</w:t>
            </w:r>
            <w:r>
              <w:rPr>
                <w:color w:val="FF0000"/>
                <w:sz w:val="28"/>
                <w:szCs w:val="28"/>
              </w:rPr>
              <w:t>.</w:t>
            </w:r>
          </w:p>
          <w:p w:rsidR="00D12D1C" w:rsidRDefault="00D12D1C">
            <w:pPr>
              <w:pStyle w:val="formattext"/>
              <w:spacing w:beforeAutospacing="0" w:afterAutospacing="0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</w:tbl>
    <w:p w:rsidR="00D12D1C" w:rsidRDefault="00D12D1C"/>
    <w:sectPr w:rsidR="00D12D1C" w:rsidSect="00D12D1C">
      <w:pgSz w:w="11906" w:h="16838"/>
      <w:pgMar w:top="1134" w:right="851" w:bottom="1134" w:left="1531" w:header="0" w:footer="0" w:gutter="0"/>
      <w:cols w:space="720"/>
      <w:formProt w:val="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73E07"/>
    <w:multiLevelType w:val="multilevel"/>
    <w:tmpl w:val="A7003DA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B7715F0"/>
    <w:multiLevelType w:val="multilevel"/>
    <w:tmpl w:val="B39A8EA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B87328E"/>
    <w:multiLevelType w:val="multilevel"/>
    <w:tmpl w:val="70C223C8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3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">
    <w:nsid w:val="5C0A33C3"/>
    <w:multiLevelType w:val="multilevel"/>
    <w:tmpl w:val="1FDA79E4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4">
    <w:nsid w:val="73887768"/>
    <w:multiLevelType w:val="multilevel"/>
    <w:tmpl w:val="F0D24F1E"/>
    <w:lvl w:ilvl="0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2D1C"/>
    <w:rsid w:val="00045402"/>
    <w:rsid w:val="000A70F7"/>
    <w:rsid w:val="0015458D"/>
    <w:rsid w:val="001D49FD"/>
    <w:rsid w:val="002A7105"/>
    <w:rsid w:val="0038040E"/>
    <w:rsid w:val="003E7A0A"/>
    <w:rsid w:val="0044503A"/>
    <w:rsid w:val="004D77D1"/>
    <w:rsid w:val="005118C0"/>
    <w:rsid w:val="0059270A"/>
    <w:rsid w:val="005A3BE6"/>
    <w:rsid w:val="0070480E"/>
    <w:rsid w:val="007436F6"/>
    <w:rsid w:val="008834C0"/>
    <w:rsid w:val="009D4856"/>
    <w:rsid w:val="00CD4794"/>
    <w:rsid w:val="00D12D1C"/>
    <w:rsid w:val="00D83441"/>
    <w:rsid w:val="00FB1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8D8"/>
    <w:pPr>
      <w:widowControl w:val="0"/>
      <w:suppressAutoHyphens/>
    </w:pPr>
    <w:rPr>
      <w:rFonts w:ascii="Arial" w:eastAsia="Lucida Sans Unicode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5568F9"/>
    <w:pPr>
      <w:suppressAutoHyphens w:val="0"/>
      <w:spacing w:before="108" w:after="108"/>
      <w:jc w:val="center"/>
      <w:outlineLvl w:val="0"/>
    </w:pPr>
    <w:rPr>
      <w:rFonts w:eastAsia="Times New Roman"/>
      <w:b/>
      <w:bCs/>
      <w:color w:val="000080"/>
    </w:rPr>
  </w:style>
  <w:style w:type="paragraph" w:customStyle="1" w:styleId="Heading2">
    <w:name w:val="Heading 2"/>
    <w:basedOn w:val="a"/>
    <w:next w:val="a"/>
    <w:qFormat/>
    <w:rsid w:val="004E48D8"/>
    <w:pPr>
      <w:keepNext/>
      <w:tabs>
        <w:tab w:val="left" w:pos="1440"/>
      </w:tabs>
      <w:ind w:left="1440" w:hanging="360"/>
      <w:jc w:val="center"/>
      <w:outlineLvl w:val="1"/>
    </w:pPr>
    <w:rPr>
      <w:rFonts w:ascii="Times New Roman" w:eastAsia="Andale Sans UI" w:hAnsi="Times New Roman"/>
      <w:b/>
      <w:kern w:val="2"/>
      <w:sz w:val="40"/>
      <w:szCs w:val="20"/>
    </w:rPr>
  </w:style>
  <w:style w:type="paragraph" w:customStyle="1" w:styleId="Heading3">
    <w:name w:val="Heading 3"/>
    <w:basedOn w:val="a"/>
    <w:next w:val="a"/>
    <w:link w:val="3"/>
    <w:semiHidden/>
    <w:unhideWhenUsed/>
    <w:qFormat/>
    <w:rsid w:val="00CF025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5">
    <w:name w:val="Heading 5"/>
    <w:basedOn w:val="a"/>
    <w:next w:val="a"/>
    <w:qFormat/>
    <w:rsid w:val="005568F9"/>
    <w:pPr>
      <w:widowControl/>
      <w:suppressAutoHyphens w:val="0"/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character" w:styleId="a3">
    <w:name w:val="page number"/>
    <w:basedOn w:val="a0"/>
    <w:qFormat/>
    <w:rsid w:val="000C5A33"/>
  </w:style>
  <w:style w:type="character" w:customStyle="1" w:styleId="-">
    <w:name w:val="Интернет-ссылка"/>
    <w:basedOn w:val="a0"/>
    <w:rsid w:val="005568F9"/>
    <w:rPr>
      <w:color w:val="0000FF"/>
      <w:u w:val="single"/>
    </w:rPr>
  </w:style>
  <w:style w:type="character" w:customStyle="1" w:styleId="a4">
    <w:name w:val="Верхний колонтитул Знак"/>
    <w:basedOn w:val="a0"/>
    <w:qFormat/>
    <w:rsid w:val="007C0E67"/>
    <w:rPr>
      <w:sz w:val="24"/>
      <w:szCs w:val="24"/>
    </w:rPr>
  </w:style>
  <w:style w:type="character" w:customStyle="1" w:styleId="a5">
    <w:name w:val="Основной текст с отступом Знак"/>
    <w:uiPriority w:val="99"/>
    <w:qFormat/>
    <w:rsid w:val="0037440B"/>
    <w:rPr>
      <w:sz w:val="24"/>
      <w:szCs w:val="24"/>
    </w:rPr>
  </w:style>
  <w:style w:type="character" w:customStyle="1" w:styleId="a6">
    <w:name w:val="Привязка сноски"/>
    <w:rsid w:val="00D12D1C"/>
    <w:rPr>
      <w:vertAlign w:val="superscript"/>
    </w:rPr>
  </w:style>
  <w:style w:type="character" w:customStyle="1" w:styleId="FootnoteCharacters">
    <w:name w:val="Footnote Characters"/>
    <w:qFormat/>
    <w:rsid w:val="00236289"/>
    <w:rPr>
      <w:vertAlign w:val="superscript"/>
    </w:rPr>
  </w:style>
  <w:style w:type="character" w:customStyle="1" w:styleId="3">
    <w:name w:val="Заголовок 3 Знак"/>
    <w:basedOn w:val="a0"/>
    <w:link w:val="Heading3"/>
    <w:semiHidden/>
    <w:qFormat/>
    <w:rsid w:val="00CF025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pple-converted-space">
    <w:name w:val="apple-converted-space"/>
    <w:basedOn w:val="a0"/>
    <w:qFormat/>
    <w:rsid w:val="00CF0251"/>
  </w:style>
  <w:style w:type="character" w:customStyle="1" w:styleId="ListLabel1">
    <w:name w:val="ListLabel 1"/>
    <w:qFormat/>
    <w:rsid w:val="00D12D1C"/>
    <w:rPr>
      <w:b/>
    </w:rPr>
  </w:style>
  <w:style w:type="character" w:customStyle="1" w:styleId="ListLabel2">
    <w:name w:val="ListLabel 2"/>
    <w:qFormat/>
    <w:rsid w:val="00D12D1C"/>
    <w:rPr>
      <w:rFonts w:cs="Courier New"/>
    </w:rPr>
  </w:style>
  <w:style w:type="character" w:customStyle="1" w:styleId="ListLabel3">
    <w:name w:val="ListLabel 3"/>
    <w:qFormat/>
    <w:rsid w:val="00D12D1C"/>
    <w:rPr>
      <w:rFonts w:cs="Courier New"/>
    </w:rPr>
  </w:style>
  <w:style w:type="character" w:customStyle="1" w:styleId="ListLabel4">
    <w:name w:val="ListLabel 4"/>
    <w:qFormat/>
    <w:rsid w:val="00D12D1C"/>
    <w:rPr>
      <w:rFonts w:cs="Courier New"/>
    </w:rPr>
  </w:style>
  <w:style w:type="character" w:customStyle="1" w:styleId="ListLabel5">
    <w:name w:val="ListLabel 5"/>
    <w:qFormat/>
    <w:rsid w:val="00D12D1C"/>
    <w:rPr>
      <w:rFonts w:ascii="Times New Roman" w:hAnsi="Times New Roman"/>
      <w:sz w:val="28"/>
      <w:szCs w:val="28"/>
    </w:rPr>
  </w:style>
  <w:style w:type="character" w:customStyle="1" w:styleId="ListLabel6">
    <w:name w:val="ListLabel 6"/>
    <w:qFormat/>
    <w:rsid w:val="00D12D1C"/>
    <w:rPr>
      <w:rFonts w:ascii="Times New Roman" w:eastAsia="Times New Roman" w:hAnsi="Times New Roman"/>
      <w:sz w:val="28"/>
      <w:szCs w:val="28"/>
    </w:rPr>
  </w:style>
  <w:style w:type="character" w:customStyle="1" w:styleId="ListLabel7">
    <w:name w:val="ListLabel 7"/>
    <w:qFormat/>
    <w:rsid w:val="00D12D1C"/>
    <w:rPr>
      <w:rFonts w:ascii="Times New Roman" w:hAnsi="Times New Roman"/>
      <w:sz w:val="28"/>
      <w:szCs w:val="28"/>
    </w:rPr>
  </w:style>
  <w:style w:type="character" w:customStyle="1" w:styleId="ListLabel8">
    <w:name w:val="ListLabel 8"/>
    <w:qFormat/>
    <w:rsid w:val="00D12D1C"/>
    <w:rPr>
      <w:rFonts w:ascii="Times New Roman" w:eastAsia="Times New Roman" w:hAnsi="Times New Roman"/>
      <w:sz w:val="28"/>
      <w:szCs w:val="28"/>
    </w:rPr>
  </w:style>
  <w:style w:type="character" w:customStyle="1" w:styleId="ListLabel9">
    <w:name w:val="ListLabel 9"/>
    <w:qFormat/>
    <w:rsid w:val="00D12D1C"/>
    <w:rPr>
      <w:rFonts w:ascii="Times New Roman" w:hAnsi="Times New Roman"/>
      <w:sz w:val="28"/>
      <w:szCs w:val="28"/>
    </w:rPr>
  </w:style>
  <w:style w:type="paragraph" w:customStyle="1" w:styleId="a7">
    <w:name w:val="Заголовок"/>
    <w:basedOn w:val="a"/>
    <w:next w:val="a8"/>
    <w:qFormat/>
    <w:rsid w:val="00D12D1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5568F9"/>
    <w:pPr>
      <w:widowControl/>
      <w:suppressAutoHyphens w:val="0"/>
      <w:spacing w:after="120"/>
    </w:pPr>
    <w:rPr>
      <w:rFonts w:ascii="Times New Roman" w:eastAsia="Times New Roman" w:hAnsi="Times New Roman"/>
      <w:sz w:val="28"/>
      <w:szCs w:val="28"/>
    </w:rPr>
  </w:style>
  <w:style w:type="paragraph" w:styleId="a9">
    <w:name w:val="List"/>
    <w:basedOn w:val="a8"/>
    <w:rsid w:val="00D12D1C"/>
    <w:rPr>
      <w:rFonts w:cs="Arial"/>
    </w:rPr>
  </w:style>
  <w:style w:type="paragraph" w:customStyle="1" w:styleId="Caption">
    <w:name w:val="Caption"/>
    <w:basedOn w:val="a"/>
    <w:qFormat/>
    <w:rsid w:val="00D12D1C"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rsid w:val="00D12D1C"/>
    <w:pPr>
      <w:suppressLineNumbers/>
    </w:pPr>
    <w:rPr>
      <w:rFonts w:cs="Arial"/>
    </w:rPr>
  </w:style>
  <w:style w:type="paragraph" w:styleId="ab">
    <w:name w:val="Balloon Text"/>
    <w:basedOn w:val="a"/>
    <w:semiHidden/>
    <w:qFormat/>
    <w:rsid w:val="002F3482"/>
    <w:rPr>
      <w:rFonts w:ascii="Tahoma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qFormat/>
    <w:rsid w:val="000C5A33"/>
    <w:pPr>
      <w:suppressAutoHyphens w:val="0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qFormat/>
    <w:rsid w:val="000C5A33"/>
    <w:pPr>
      <w:widowControl w:val="0"/>
      <w:ind w:firstLine="720"/>
    </w:pPr>
    <w:rPr>
      <w:rFonts w:ascii="Arial" w:hAnsi="Arial" w:cs="Arial"/>
      <w:sz w:val="24"/>
    </w:rPr>
  </w:style>
  <w:style w:type="paragraph" w:customStyle="1" w:styleId="21">
    <w:name w:val="Основной текст 21"/>
    <w:basedOn w:val="a"/>
    <w:qFormat/>
    <w:rsid w:val="000C5A33"/>
    <w:pPr>
      <w:widowControl/>
      <w:tabs>
        <w:tab w:val="left" w:pos="1069"/>
      </w:tabs>
      <w:suppressAutoHyphens w:val="0"/>
      <w:overflowPunct w:val="0"/>
      <w:ind w:left="-70" w:firstLine="709"/>
      <w:jc w:val="both"/>
      <w:textAlignment w:val="baseline"/>
    </w:pPr>
    <w:rPr>
      <w:rFonts w:ascii="Times New Roman" w:eastAsia="Times New Roman" w:hAnsi="Times New Roman"/>
      <w:sz w:val="28"/>
      <w:szCs w:val="20"/>
    </w:rPr>
  </w:style>
  <w:style w:type="paragraph" w:customStyle="1" w:styleId="Header">
    <w:name w:val="Header"/>
    <w:basedOn w:val="a"/>
    <w:rsid w:val="000C5A33"/>
    <w:pPr>
      <w:widowControl/>
      <w:tabs>
        <w:tab w:val="center" w:pos="4677"/>
        <w:tab w:val="right" w:pos="9355"/>
      </w:tabs>
      <w:suppressAutoHyphens w:val="0"/>
    </w:pPr>
    <w:rPr>
      <w:rFonts w:ascii="Times New Roman" w:eastAsia="Times New Roman" w:hAnsi="Times New Roman"/>
    </w:rPr>
  </w:style>
  <w:style w:type="paragraph" w:customStyle="1" w:styleId="Footer">
    <w:name w:val="Footer"/>
    <w:basedOn w:val="a"/>
    <w:rsid w:val="000C5A33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qFormat/>
    <w:rsid w:val="00CA4010"/>
    <w:pPr>
      <w:widowControl w:val="0"/>
      <w:suppressAutoHyphens/>
    </w:pPr>
    <w:rPr>
      <w:rFonts w:ascii="Courier New" w:hAnsi="Courier New" w:cs="Courier New"/>
      <w:sz w:val="24"/>
      <w:lang w:eastAsia="ar-SA"/>
    </w:rPr>
  </w:style>
  <w:style w:type="paragraph" w:styleId="ad">
    <w:name w:val="Body Text Indent"/>
    <w:basedOn w:val="a"/>
    <w:uiPriority w:val="99"/>
    <w:rsid w:val="005568F9"/>
    <w:pPr>
      <w:widowControl/>
      <w:suppressAutoHyphens w:val="0"/>
      <w:spacing w:after="120"/>
      <w:ind w:left="283"/>
    </w:pPr>
    <w:rPr>
      <w:rFonts w:ascii="Times New Roman" w:eastAsia="Times New Roman" w:hAnsi="Times New Roman"/>
    </w:rPr>
  </w:style>
  <w:style w:type="paragraph" w:styleId="ae">
    <w:name w:val="Normal (Web)"/>
    <w:basedOn w:val="a"/>
    <w:qFormat/>
    <w:rsid w:val="005568F9"/>
    <w:pPr>
      <w:widowControl/>
      <w:suppressAutoHyphens w:val="0"/>
      <w:spacing w:beforeAutospacing="1" w:afterAutospacing="1"/>
    </w:pPr>
    <w:rPr>
      <w:rFonts w:ascii="Times New Roman" w:eastAsia="Times New Roman" w:hAnsi="Times New Roman"/>
    </w:rPr>
  </w:style>
  <w:style w:type="paragraph" w:styleId="2">
    <w:name w:val="Body Text 2"/>
    <w:basedOn w:val="a"/>
    <w:qFormat/>
    <w:rsid w:val="005568F9"/>
    <w:pPr>
      <w:widowControl/>
      <w:suppressAutoHyphens w:val="0"/>
      <w:spacing w:after="120" w:line="48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71">
    <w:name w:val="xl71"/>
    <w:basedOn w:val="a"/>
    <w:qFormat/>
    <w:rsid w:val="005568F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top"/>
    </w:pPr>
    <w:rPr>
      <w:rFonts w:ascii="Times New Roman" w:eastAsia="Times New Roman" w:hAnsi="Times New Roman"/>
      <w:sz w:val="28"/>
      <w:szCs w:val="28"/>
    </w:rPr>
  </w:style>
  <w:style w:type="paragraph" w:customStyle="1" w:styleId="af">
    <w:name w:val="Знак"/>
    <w:basedOn w:val="a"/>
    <w:autoRedefine/>
    <w:qFormat/>
    <w:rsid w:val="005568F9"/>
    <w:pPr>
      <w:widowControl/>
      <w:suppressAutoHyphens w:val="0"/>
      <w:spacing w:after="160" w:line="240" w:lineRule="exact"/>
    </w:pPr>
    <w:rPr>
      <w:rFonts w:ascii="Times New Roman" w:eastAsia="Times New Roman" w:hAnsi="Times New Roman"/>
      <w:sz w:val="28"/>
      <w:szCs w:val="20"/>
      <w:lang w:val="en-US" w:eastAsia="en-US"/>
    </w:rPr>
  </w:style>
  <w:style w:type="paragraph" w:styleId="af0">
    <w:name w:val="List Paragraph"/>
    <w:basedOn w:val="a"/>
    <w:qFormat/>
    <w:rsid w:val="005568F9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qFormat/>
    <w:rsid w:val="005568F9"/>
    <w:pPr>
      <w:ind w:right="19772" w:firstLine="720"/>
    </w:pPr>
    <w:rPr>
      <w:rFonts w:ascii="Arial" w:hAnsi="Arial" w:cs="Arial"/>
      <w:sz w:val="24"/>
    </w:rPr>
  </w:style>
  <w:style w:type="paragraph" w:customStyle="1" w:styleId="formattexttopleveltext">
    <w:name w:val="formattext topleveltext"/>
    <w:basedOn w:val="a"/>
    <w:qFormat/>
    <w:rsid w:val="00CF0251"/>
    <w:pPr>
      <w:widowControl/>
      <w:suppressAutoHyphens w:val="0"/>
      <w:spacing w:beforeAutospacing="1" w:afterAutospacing="1"/>
    </w:pPr>
    <w:rPr>
      <w:rFonts w:ascii="Times New Roman" w:eastAsia="Times New Roman" w:hAnsi="Times New Roman"/>
    </w:rPr>
  </w:style>
  <w:style w:type="paragraph" w:customStyle="1" w:styleId="formattext">
    <w:name w:val="formattext"/>
    <w:basedOn w:val="a"/>
    <w:qFormat/>
    <w:rsid w:val="00CF0251"/>
    <w:pPr>
      <w:widowControl/>
      <w:suppressAutoHyphens w:val="0"/>
      <w:spacing w:beforeAutospacing="1" w:afterAutospacing="1"/>
    </w:pPr>
    <w:rPr>
      <w:rFonts w:ascii="Times New Roman" w:eastAsia="Times New Roman" w:hAnsi="Times New Roman"/>
    </w:rPr>
  </w:style>
  <w:style w:type="paragraph" w:customStyle="1" w:styleId="af1">
    <w:name w:val="Содержимое таблицы"/>
    <w:basedOn w:val="a"/>
    <w:qFormat/>
    <w:rsid w:val="00CF0251"/>
    <w:pPr>
      <w:suppressLineNumbers/>
    </w:pPr>
    <w:rPr>
      <w:rFonts w:ascii="Times New Roman" w:hAnsi="Times New Roman" w:cs="Mangal"/>
      <w:kern w:val="2"/>
      <w:lang w:eastAsia="hi-IN" w:bidi="hi-IN"/>
    </w:rPr>
  </w:style>
  <w:style w:type="paragraph" w:styleId="af2">
    <w:name w:val="No Spacing"/>
    <w:uiPriority w:val="1"/>
    <w:qFormat/>
    <w:rsid w:val="00CF0251"/>
    <w:rPr>
      <w:sz w:val="24"/>
      <w:szCs w:val="24"/>
    </w:rPr>
  </w:style>
  <w:style w:type="paragraph" w:customStyle="1" w:styleId="af3">
    <w:name w:val="Содержимое врезки"/>
    <w:basedOn w:val="a"/>
    <w:qFormat/>
    <w:rsid w:val="00D12D1C"/>
  </w:style>
  <w:style w:type="table" w:styleId="af4">
    <w:name w:val="Table Grid"/>
    <w:basedOn w:val="a1"/>
    <w:rsid w:val="00CA40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26957-99F9-4F3A-9952-237B44A76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admin</cp:lastModifiedBy>
  <cp:revision>4</cp:revision>
  <cp:lastPrinted>2022-11-13T11:27:00Z</cp:lastPrinted>
  <dcterms:created xsi:type="dcterms:W3CDTF">2022-03-18T06:49:00Z</dcterms:created>
  <dcterms:modified xsi:type="dcterms:W3CDTF">2022-11-13T11:27:00Z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